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2002" w14:textId="751A57BC" w:rsidR="00171EFD" w:rsidRDefault="00D33D97" w:rsidP="00171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658">
        <w:rPr>
          <w:b/>
          <w:sz w:val="20"/>
          <w:szCs w:val="20"/>
        </w:rPr>
        <w:t>Biosamples/tissue/data requested:</w:t>
      </w:r>
      <w:r w:rsidRPr="00B46658">
        <w:rPr>
          <w:sz w:val="20"/>
          <w:szCs w:val="20"/>
        </w:rPr>
        <w:t xml:space="preserve"> In a table, briefly outline the number, type, and amount of biospecimens/tissue requested, </w:t>
      </w:r>
      <w:r w:rsidR="00B25611">
        <w:rPr>
          <w:sz w:val="20"/>
          <w:szCs w:val="20"/>
        </w:rPr>
        <w:t xml:space="preserve">including </w:t>
      </w:r>
      <w:r w:rsidRPr="00B46658">
        <w:rPr>
          <w:sz w:val="20"/>
          <w:szCs w:val="20"/>
        </w:rPr>
        <w:t>volume of sample required</w:t>
      </w:r>
      <w:r w:rsidR="003F67C5">
        <w:rPr>
          <w:sz w:val="20"/>
          <w:szCs w:val="20"/>
        </w:rPr>
        <w:t xml:space="preserve">, </w:t>
      </w:r>
      <w:r w:rsidR="00B93095">
        <w:rPr>
          <w:sz w:val="20"/>
          <w:szCs w:val="20"/>
        </w:rPr>
        <w:t>study cohort</w:t>
      </w:r>
      <w:r w:rsidR="003F67C5">
        <w:rPr>
          <w:sz w:val="20"/>
          <w:szCs w:val="20"/>
        </w:rPr>
        <w:t>, BiosampleID (if applicable), and biosample visit number (if applicable)</w:t>
      </w:r>
      <w:r w:rsidRPr="00B46658">
        <w:rPr>
          <w:sz w:val="20"/>
          <w:szCs w:val="20"/>
        </w:rPr>
        <w:t xml:space="preserve">. In addition, the applicant should determine if the samples required are available through the repository prior to submitting an application. </w:t>
      </w:r>
      <w:r w:rsidR="00171EFD">
        <w:rPr>
          <w:sz w:val="20"/>
          <w:szCs w:val="20"/>
        </w:rPr>
        <w:t>For applicants requesting access to data outside of FITBIR (with funding for analyses), briefly outline what data is required and how the data will be used.</w:t>
      </w:r>
      <w:r w:rsidR="00171E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EF6089" w14:textId="71C0D620" w:rsidR="00D33D97" w:rsidRPr="00B46658" w:rsidRDefault="00D33D97">
      <w:pPr>
        <w:rPr>
          <w:sz w:val="20"/>
          <w:szCs w:val="20"/>
        </w:rPr>
      </w:pPr>
    </w:p>
    <w:tbl>
      <w:tblPr>
        <w:tblW w:w="137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963"/>
        <w:gridCol w:w="1146"/>
        <w:gridCol w:w="1048"/>
        <w:gridCol w:w="1528"/>
        <w:gridCol w:w="1257"/>
        <w:gridCol w:w="1612"/>
        <w:gridCol w:w="1550"/>
        <w:gridCol w:w="2099"/>
        <w:gridCol w:w="1658"/>
      </w:tblGrid>
      <w:tr w:rsidR="00D721E7" w:rsidRPr="00B1746A" w14:paraId="7C3E1860" w14:textId="77777777" w:rsidTr="00D721E7">
        <w:trPr>
          <w:trHeight w:val="1671"/>
        </w:trPr>
        <w:tc>
          <w:tcPr>
            <w:tcW w:w="926" w:type="dxa"/>
            <w:shd w:val="clear" w:color="auto" w:fill="auto"/>
            <w:vAlign w:val="center"/>
            <w:hideMark/>
          </w:tcPr>
          <w:p w14:paraId="195724B0" w14:textId="77777777" w:rsidR="00D721E7" w:rsidRPr="004A0DDB" w:rsidRDefault="00D721E7" w:rsidP="00D72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A0D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Line #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3F274144" w14:textId="091AC988" w:rsidR="00D721E7" w:rsidRPr="004A0DDB" w:rsidRDefault="00D721E7" w:rsidP="00D72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A0D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Study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Cohort </w:t>
            </w:r>
          </w:p>
        </w:tc>
        <w:tc>
          <w:tcPr>
            <w:tcW w:w="1181" w:type="dxa"/>
            <w:vAlign w:val="center"/>
          </w:tcPr>
          <w:p w14:paraId="0198F440" w14:textId="3741C129" w:rsidR="00D721E7" w:rsidRPr="004A0DDB" w:rsidRDefault="00D721E7" w:rsidP="00D72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A0D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Number of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Subjects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5FFF9290" w14:textId="2D250E0E" w:rsidR="00D721E7" w:rsidRPr="004A0DDB" w:rsidRDefault="00D721E7" w:rsidP="00D72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A0D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Number of Samples</w:t>
            </w:r>
          </w:p>
        </w:tc>
        <w:tc>
          <w:tcPr>
            <w:tcW w:w="1709" w:type="dxa"/>
            <w:vAlign w:val="center"/>
          </w:tcPr>
          <w:p w14:paraId="560B9029" w14:textId="5B7DF777" w:rsidR="00D721E7" w:rsidRPr="004A0DDB" w:rsidRDefault="00D721E7" w:rsidP="00D72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A0D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Visit types and number of samples per visit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AA67560" w14:textId="6F7E2DEF" w:rsidR="00D721E7" w:rsidRPr="004A0DDB" w:rsidRDefault="00D721E7" w:rsidP="00D72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A0D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Biosample Type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0EF1E6A1" w14:textId="77777777" w:rsidR="00D721E7" w:rsidRPr="00D2094B" w:rsidRDefault="00D721E7" w:rsidP="00D72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209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Volume or concentration</w:t>
            </w:r>
            <w:r w:rsidRPr="00D209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2094B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</w:rPr>
              <w:t xml:space="preserve">(in # of aliquots, e.g. 2x 200 </w:t>
            </w:r>
            <w:r w:rsidRPr="00D2094B">
              <w:rPr>
                <w:rFonts w:ascii="Symbol" w:eastAsia="Times New Roman" w:hAnsi="Symbol" w:cs="Times New Roman"/>
                <w:bCs/>
                <w:i/>
                <w:color w:val="000000"/>
                <w:sz w:val="20"/>
                <w:szCs w:val="20"/>
              </w:rPr>
              <w:t></w:t>
            </w:r>
            <w:r w:rsidRPr="00D2094B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</w:rPr>
              <w:t>L, see Table A)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60610300" w14:textId="77777777" w:rsidR="00D721E7" w:rsidRDefault="00D721E7" w:rsidP="00D72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A0D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Any other criteria to be considered </w:t>
            </w:r>
          </w:p>
          <w:p w14:paraId="7129608A" w14:textId="3C749ABC" w:rsidR="00D721E7" w:rsidRPr="004A0DDB" w:rsidRDefault="00D721E7" w:rsidP="00D72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E17A9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</w:rPr>
              <w:t>(e.g. quality control data)</w:t>
            </w:r>
          </w:p>
        </w:tc>
        <w:tc>
          <w:tcPr>
            <w:tcW w:w="2099" w:type="dxa"/>
          </w:tcPr>
          <w:p w14:paraId="163DEC15" w14:textId="648B7C24" w:rsidR="00D721E7" w:rsidRDefault="00D721E7" w:rsidP="00D72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14:paraId="71BCBF30" w14:textId="20DEF239" w:rsidR="00D721E7" w:rsidRPr="004A0DDB" w:rsidRDefault="00D721E7" w:rsidP="00D72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A0D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BiosampleID</w:t>
            </w:r>
          </w:p>
          <w:p w14:paraId="77E4EB98" w14:textId="6061922F" w:rsidR="00D721E7" w:rsidRPr="00D2094B" w:rsidRDefault="00D721E7" w:rsidP="00D72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</w:rPr>
            </w:pPr>
            <w:r w:rsidRPr="00D2094B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</w:rPr>
              <w:t>(if you are seeking specific samples based off other data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</w:rPr>
              <w:t xml:space="preserve"> joined to Biosample Catalog in Query T</w:t>
            </w:r>
            <w:r w:rsidRPr="00D2094B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</w:rPr>
              <w:t>ool e.g, Case/Control)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77B4F6F5" w14:textId="7584250E" w:rsidR="00D721E7" w:rsidRPr="004A0DDB" w:rsidRDefault="00D721E7" w:rsidP="00D72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A0D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Sample availability</w:t>
            </w:r>
          </w:p>
          <w:p w14:paraId="74730971" w14:textId="77777777" w:rsidR="00D721E7" w:rsidRPr="004A0DDB" w:rsidRDefault="00D721E7" w:rsidP="00D72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24"/>
                <w:szCs w:val="24"/>
              </w:rPr>
            </w:pPr>
            <w:r w:rsidRPr="004A0DDB">
              <w:rPr>
                <w:rFonts w:ascii="Calibri" w:eastAsia="Times New Roman" w:hAnsi="Calibri" w:cs="Times New Roman"/>
                <w:bCs/>
                <w:i/>
                <w:color w:val="000000"/>
                <w:sz w:val="24"/>
                <w:szCs w:val="24"/>
              </w:rPr>
              <w:t>(See Table B)</w:t>
            </w:r>
          </w:p>
        </w:tc>
      </w:tr>
      <w:tr w:rsidR="00D721E7" w:rsidRPr="00B1746A" w14:paraId="732BA295" w14:textId="77777777" w:rsidTr="00D721E7">
        <w:trPr>
          <w:trHeight w:val="943"/>
        </w:trPr>
        <w:tc>
          <w:tcPr>
            <w:tcW w:w="926" w:type="dxa"/>
            <w:shd w:val="clear" w:color="auto" w:fill="auto"/>
            <w:vAlign w:val="center"/>
            <w:hideMark/>
          </w:tcPr>
          <w:p w14:paraId="753A2377" w14:textId="77777777" w:rsidR="00D721E7" w:rsidRPr="00D2094B" w:rsidRDefault="00D721E7" w:rsidP="00D72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094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Example 1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526F9187" w14:textId="50E9D9E3" w:rsidR="00D721E7" w:rsidRPr="00D2094B" w:rsidRDefault="00D721E7" w:rsidP="00D72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  <w:t>LE-TBI</w:t>
            </w:r>
            <w:r w:rsidR="0082297D"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  <w:t>, TBI</w:t>
            </w:r>
          </w:p>
        </w:tc>
        <w:tc>
          <w:tcPr>
            <w:tcW w:w="1181" w:type="dxa"/>
            <w:vAlign w:val="center"/>
          </w:tcPr>
          <w:p w14:paraId="787C5E22" w14:textId="646E8F09" w:rsidR="00D721E7" w:rsidRPr="00D2094B" w:rsidRDefault="00D721E7" w:rsidP="00D72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  <w:t>50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1D2EC747" w14:textId="63DEE176" w:rsidR="00D721E7" w:rsidRPr="00D2094B" w:rsidRDefault="00D721E7" w:rsidP="00D72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</w:pPr>
            <w:r w:rsidRPr="00D2094B"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709" w:type="dxa"/>
            <w:vAlign w:val="center"/>
          </w:tcPr>
          <w:p w14:paraId="4E3810AA" w14:textId="0A8B7443" w:rsidR="00D721E7" w:rsidRPr="00D2094B" w:rsidRDefault="00D721E7" w:rsidP="00D72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</w:pPr>
            <w:r w:rsidRPr="00D2094B"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  <w:t xml:space="preserve">Visit 1 (V0) - 50 samples </w:t>
            </w:r>
            <w:r w:rsidRPr="00D2094B"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  <w:br/>
              <w:t>Visit 2 (V1) - 50 samples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269FC377" w14:textId="7F567D7F" w:rsidR="00D721E7" w:rsidRPr="00D2094B" w:rsidRDefault="00D721E7" w:rsidP="00D72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</w:pPr>
            <w:r w:rsidRPr="00D2094B"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  <w:t>Plasma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5A1A6972" w14:textId="698E89FC" w:rsidR="00D721E7" w:rsidRPr="00D2094B" w:rsidRDefault="00D721E7" w:rsidP="00D72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</w:pPr>
            <w:r w:rsidRPr="00D2094B"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  <w:t xml:space="preserve">2 x 200 </w:t>
            </w:r>
            <w:r w:rsidRPr="00D2094B">
              <w:rPr>
                <w:rFonts w:ascii="Symbol" w:eastAsia="Times New Roman" w:hAnsi="Symbol" w:cs="Times New Roman"/>
                <w:i/>
                <w:iCs/>
                <w:color w:val="FF0000"/>
                <w:sz w:val="20"/>
                <w:szCs w:val="20"/>
              </w:rPr>
              <w:t></w:t>
            </w:r>
            <w:r w:rsidRPr="00D2094B"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  <w:t>L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424C239D" w14:textId="658FE032" w:rsidR="00D721E7" w:rsidRPr="00D2094B" w:rsidRDefault="00D721E7" w:rsidP="00D72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</w:pPr>
            <w:r w:rsidRPr="00D753F2">
              <w:rPr>
                <w:i/>
                <w:color w:val="FF0000"/>
              </w:rPr>
              <w:t>Hb &lt; 200 ng/mL</w:t>
            </w:r>
          </w:p>
        </w:tc>
        <w:tc>
          <w:tcPr>
            <w:tcW w:w="2099" w:type="dxa"/>
          </w:tcPr>
          <w:p w14:paraId="43562D82" w14:textId="77777777" w:rsidR="00D721E7" w:rsidRDefault="00D721E7" w:rsidP="00D721E7"/>
          <w:tbl>
            <w:tblPr>
              <w:tblW w:w="1880" w:type="dxa"/>
              <w:tblInd w:w="3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880"/>
            </w:tblGrid>
            <w:tr w:rsidR="00D721E7" w:rsidRPr="00D2094B" w14:paraId="0C8C6DE1" w14:textId="77777777" w:rsidTr="00D2094B">
              <w:trPr>
                <w:trHeight w:val="276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6147B" w14:textId="77777777" w:rsidR="00D721E7" w:rsidRPr="00D2094B" w:rsidRDefault="00D721E7" w:rsidP="00D721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D2094B">
                    <w:rPr>
                      <w:rFonts w:ascii="Calibri" w:eastAsia="Times New Roman" w:hAnsi="Calibri" w:cs="Times New Roman"/>
                      <w:i/>
                      <w:iCs/>
                      <w:color w:val="FF0000"/>
                      <w:sz w:val="20"/>
                      <w:szCs w:val="20"/>
                    </w:rPr>
                    <w:t>1664506,</w:t>
                  </w:r>
                </w:p>
              </w:tc>
            </w:tr>
            <w:tr w:rsidR="00D721E7" w:rsidRPr="00D2094B" w14:paraId="3B68A2CE" w14:textId="77777777" w:rsidTr="00D2094B">
              <w:trPr>
                <w:trHeight w:val="276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01740" w14:textId="77777777" w:rsidR="00D721E7" w:rsidRPr="00D2094B" w:rsidRDefault="00D721E7" w:rsidP="00D721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D2094B">
                    <w:rPr>
                      <w:rFonts w:ascii="Calibri" w:eastAsia="Times New Roman" w:hAnsi="Calibri" w:cs="Times New Roman"/>
                      <w:i/>
                      <w:iCs/>
                      <w:color w:val="FF0000"/>
                      <w:sz w:val="20"/>
                      <w:szCs w:val="20"/>
                    </w:rPr>
                    <w:t>444430,</w:t>
                  </w:r>
                </w:p>
              </w:tc>
            </w:tr>
            <w:tr w:rsidR="00D721E7" w:rsidRPr="00D2094B" w14:paraId="3864F32E" w14:textId="77777777" w:rsidTr="00D2094B">
              <w:trPr>
                <w:trHeight w:val="75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A874A" w14:textId="77777777" w:rsidR="00D721E7" w:rsidRPr="00D2094B" w:rsidRDefault="00D721E7" w:rsidP="00D721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D2094B">
                    <w:rPr>
                      <w:rFonts w:ascii="Calibri" w:eastAsia="Times New Roman" w:hAnsi="Calibri" w:cs="Times New Roman"/>
                      <w:i/>
                      <w:iCs/>
                      <w:color w:val="FF0000"/>
                      <w:sz w:val="20"/>
                      <w:szCs w:val="20"/>
                    </w:rPr>
                    <w:t>1664485</w:t>
                  </w:r>
                </w:p>
              </w:tc>
            </w:tr>
          </w:tbl>
          <w:p w14:paraId="3E638042" w14:textId="3AE8E39D" w:rsidR="00D721E7" w:rsidRPr="00D2094B" w:rsidRDefault="00D721E7" w:rsidP="00D72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3E663C7F" w14:textId="71116EFE" w:rsidR="00D721E7" w:rsidRPr="00D2094B" w:rsidRDefault="00D721E7" w:rsidP="00D72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</w:pPr>
            <w:r w:rsidRPr="00D2094B"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  <w:t>yes; 32 samples at 1mL each are available as of 12/25/202</w:t>
            </w:r>
            <w:r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  <w:t>3</w:t>
            </w:r>
          </w:p>
        </w:tc>
      </w:tr>
      <w:tr w:rsidR="00D721E7" w:rsidRPr="00B1746A" w14:paraId="3FB2495B" w14:textId="77777777" w:rsidTr="00D721E7">
        <w:trPr>
          <w:trHeight w:val="1025"/>
        </w:trPr>
        <w:tc>
          <w:tcPr>
            <w:tcW w:w="926" w:type="dxa"/>
            <w:shd w:val="clear" w:color="auto" w:fill="auto"/>
            <w:vAlign w:val="center"/>
            <w:hideMark/>
          </w:tcPr>
          <w:p w14:paraId="6C093526" w14:textId="77777777" w:rsidR="00D721E7" w:rsidRPr="00D2094B" w:rsidRDefault="00D721E7" w:rsidP="00D72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094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Example 2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4DFC8619" w14:textId="77777777" w:rsidR="00D721E7" w:rsidRDefault="00D721E7" w:rsidP="00D72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  <w:t>LE-TBI</w:t>
            </w:r>
            <w:r w:rsidR="0082297D"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  <w:t xml:space="preserve">, </w:t>
            </w:r>
          </w:p>
          <w:p w14:paraId="3848D8EF" w14:textId="17A75B0A" w:rsidR="0082297D" w:rsidRPr="00D2094B" w:rsidRDefault="0082297D" w:rsidP="00D72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  <w:t>Controls</w:t>
            </w:r>
          </w:p>
        </w:tc>
        <w:tc>
          <w:tcPr>
            <w:tcW w:w="1181" w:type="dxa"/>
            <w:vAlign w:val="center"/>
          </w:tcPr>
          <w:p w14:paraId="294B8DA2" w14:textId="65C18D78" w:rsidR="00D721E7" w:rsidRPr="00D2094B" w:rsidRDefault="00D721E7" w:rsidP="00D72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  <w:t>50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5DB7127A" w14:textId="05CFD414" w:rsidR="00D721E7" w:rsidRPr="00D2094B" w:rsidRDefault="0082297D" w:rsidP="00D72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  <w:t>10</w:t>
            </w:r>
            <w:r w:rsidR="00D721E7"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  <w:t>0</w:t>
            </w:r>
          </w:p>
        </w:tc>
        <w:tc>
          <w:tcPr>
            <w:tcW w:w="1709" w:type="dxa"/>
            <w:vAlign w:val="center"/>
          </w:tcPr>
          <w:p w14:paraId="15FC791B" w14:textId="77777777" w:rsidR="00D721E7" w:rsidRDefault="00D721E7" w:rsidP="00D72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</w:pPr>
            <w:r w:rsidRPr="00D2094B"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  <w:t xml:space="preserve">Visit 1 (V0) - 50 samples </w:t>
            </w:r>
          </w:p>
          <w:p w14:paraId="64452CA0" w14:textId="589E09EA" w:rsidR="0082297D" w:rsidRPr="00D2094B" w:rsidRDefault="0082297D" w:rsidP="00D72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</w:pPr>
            <w:r w:rsidRPr="00D2094B"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  <w:t xml:space="preserve">Visit </w:t>
            </w:r>
            <w:r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  <w:t>2</w:t>
            </w:r>
            <w:r w:rsidRPr="00D2094B"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  <w:t xml:space="preserve"> (V</w:t>
            </w:r>
            <w:r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  <w:t>1</w:t>
            </w:r>
            <w:r w:rsidRPr="00D2094B"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  <w:t>) - 50 samples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534CC15D" w14:textId="37D37623" w:rsidR="00D721E7" w:rsidRPr="00D2094B" w:rsidRDefault="0082297D" w:rsidP="00D72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</w:pPr>
            <w:r w:rsidRPr="00D2094B"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  <w:t>Plasma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42A2EDF8" w14:textId="1F831A95" w:rsidR="00D721E7" w:rsidRPr="00D2094B" w:rsidRDefault="0082297D" w:rsidP="00D72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</w:pPr>
            <w:r w:rsidRPr="00D2094B"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  <w:t xml:space="preserve">2 x 200 </w:t>
            </w:r>
            <w:r w:rsidRPr="00D2094B">
              <w:rPr>
                <w:rFonts w:ascii="Symbol" w:eastAsia="Times New Roman" w:hAnsi="Symbol" w:cs="Times New Roman"/>
                <w:i/>
                <w:iCs/>
                <w:color w:val="FF0000"/>
                <w:sz w:val="20"/>
                <w:szCs w:val="20"/>
              </w:rPr>
              <w:t></w:t>
            </w:r>
            <w:r w:rsidRPr="00D2094B"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  <w:t>L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7F900D1F" w14:textId="744C566C" w:rsidR="00D721E7" w:rsidRPr="00D2094B" w:rsidRDefault="0082297D" w:rsidP="00D72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</w:pPr>
            <w:r w:rsidRPr="00D753F2">
              <w:rPr>
                <w:i/>
                <w:color w:val="FF0000"/>
              </w:rPr>
              <w:t>Hb &lt; 200 ng/mL</w:t>
            </w:r>
          </w:p>
        </w:tc>
        <w:tc>
          <w:tcPr>
            <w:tcW w:w="2099" w:type="dxa"/>
          </w:tcPr>
          <w:p w14:paraId="5C1CB57B" w14:textId="77777777" w:rsidR="00D721E7" w:rsidRDefault="00D721E7" w:rsidP="00D721E7"/>
          <w:tbl>
            <w:tblPr>
              <w:tblW w:w="1880" w:type="dxa"/>
              <w:tblInd w:w="3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880"/>
            </w:tblGrid>
            <w:tr w:rsidR="00D721E7" w:rsidRPr="00D2094B" w14:paraId="48A9A72E" w14:textId="77777777" w:rsidTr="00D2094B">
              <w:trPr>
                <w:trHeight w:val="276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F089A" w14:textId="0BD20B5C" w:rsidR="00D721E7" w:rsidRPr="00D2094B" w:rsidRDefault="00D721E7" w:rsidP="00D721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D2094B">
                    <w:rPr>
                      <w:rFonts w:ascii="Calibri" w:eastAsia="Times New Roman" w:hAnsi="Calibri" w:cs="Times New Roman"/>
                      <w:i/>
                      <w:iCs/>
                      <w:color w:val="FF0000"/>
                      <w:sz w:val="20"/>
                      <w:szCs w:val="20"/>
                    </w:rPr>
                    <w:t>1664506,</w:t>
                  </w:r>
                </w:p>
              </w:tc>
            </w:tr>
            <w:tr w:rsidR="00D721E7" w:rsidRPr="00D2094B" w14:paraId="44E484B3" w14:textId="77777777" w:rsidTr="00D2094B">
              <w:trPr>
                <w:trHeight w:val="276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F6222" w14:textId="140A8844" w:rsidR="00D721E7" w:rsidRPr="00D2094B" w:rsidRDefault="00D721E7" w:rsidP="00D721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D2094B">
                    <w:rPr>
                      <w:rFonts w:ascii="Calibri" w:eastAsia="Times New Roman" w:hAnsi="Calibri" w:cs="Times New Roman"/>
                      <w:i/>
                      <w:iCs/>
                      <w:color w:val="FF0000"/>
                      <w:sz w:val="20"/>
                      <w:szCs w:val="20"/>
                    </w:rPr>
                    <w:t>444430,</w:t>
                  </w:r>
                </w:p>
              </w:tc>
            </w:tr>
            <w:tr w:rsidR="00D721E7" w:rsidRPr="00D2094B" w14:paraId="22D46F48" w14:textId="77777777" w:rsidTr="00D2094B">
              <w:trPr>
                <w:trHeight w:val="8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39269" w14:textId="77777777" w:rsidR="00D721E7" w:rsidRPr="00D2094B" w:rsidRDefault="00D721E7" w:rsidP="00D721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D2094B">
                    <w:rPr>
                      <w:rFonts w:ascii="Calibri" w:eastAsia="Times New Roman" w:hAnsi="Calibri" w:cs="Times New Roman"/>
                      <w:i/>
                      <w:iCs/>
                      <w:color w:val="FF0000"/>
                      <w:sz w:val="20"/>
                      <w:szCs w:val="20"/>
                    </w:rPr>
                    <w:t>1664485</w:t>
                  </w:r>
                </w:p>
              </w:tc>
            </w:tr>
          </w:tbl>
          <w:p w14:paraId="42088486" w14:textId="77777777" w:rsidR="00D721E7" w:rsidRPr="00D2094B" w:rsidRDefault="00D721E7" w:rsidP="00D72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409F70AC" w14:textId="44D22C05" w:rsidR="00D721E7" w:rsidRPr="00D2094B" w:rsidRDefault="00D721E7" w:rsidP="00D72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</w:pPr>
            <w:r w:rsidRPr="00D2094B"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  <w:t>No, but additional stock is available per biosample catalog as of 12/30/202</w:t>
            </w:r>
            <w:r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  <w:t>3</w:t>
            </w:r>
          </w:p>
        </w:tc>
      </w:tr>
    </w:tbl>
    <w:p w14:paraId="35B4FDDA" w14:textId="77777777" w:rsidR="00B46658" w:rsidRDefault="00B46658" w:rsidP="00B46658">
      <w:pPr>
        <w:pStyle w:val="ListParagraph"/>
        <w:ind w:left="360"/>
      </w:pPr>
    </w:p>
    <w:p w14:paraId="7B7B6D35" w14:textId="77777777" w:rsidR="00B46658" w:rsidRPr="00B46658" w:rsidRDefault="00B46658" w:rsidP="0086313F">
      <w:pPr>
        <w:pStyle w:val="ListParagraph"/>
        <w:numPr>
          <w:ilvl w:val="0"/>
          <w:numId w:val="1"/>
        </w:numPr>
        <w:spacing w:after="0"/>
        <w:rPr>
          <w:i/>
        </w:rPr>
      </w:pPr>
      <w:r w:rsidRPr="00B46658">
        <w:rPr>
          <w:i/>
        </w:rPr>
        <w:t>Standard aliquots</w:t>
      </w:r>
    </w:p>
    <w:tbl>
      <w:tblPr>
        <w:tblW w:w="10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1621"/>
        <w:gridCol w:w="1350"/>
        <w:gridCol w:w="1434"/>
        <w:gridCol w:w="991"/>
        <w:gridCol w:w="794"/>
        <w:gridCol w:w="1005"/>
        <w:gridCol w:w="1005"/>
        <w:gridCol w:w="887"/>
      </w:tblGrid>
      <w:tr w:rsidR="00B46658" w:rsidRPr="00B46658" w14:paraId="4F5F8A91" w14:textId="77777777" w:rsidTr="00CF3694">
        <w:trPr>
          <w:trHeight w:val="89"/>
        </w:trPr>
        <w:tc>
          <w:tcPr>
            <w:tcW w:w="1485" w:type="dxa"/>
            <w:shd w:val="clear" w:color="auto" w:fill="auto"/>
            <w:vAlign w:val="bottom"/>
            <w:hideMark/>
          </w:tcPr>
          <w:p w14:paraId="4919825D" w14:textId="77777777" w:rsidR="00B46658" w:rsidRPr="00B46658" w:rsidRDefault="00B46658" w:rsidP="008631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6658">
              <w:rPr>
                <w:rFonts w:ascii="Calibri" w:eastAsia="Times New Roman" w:hAnsi="Calibri" w:cs="Times New Roman"/>
                <w:b/>
                <w:bCs/>
                <w:color w:val="000000"/>
              </w:rPr>
              <w:t>Study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72AB0A37" w14:textId="639FF281" w:rsidR="00B46658" w:rsidRPr="00B46658" w:rsidRDefault="00AE2DB6" w:rsidP="008631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DNA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6B3D76B" w14:textId="77777777" w:rsidR="00B46658" w:rsidRPr="00B46658" w:rsidRDefault="00B46658" w:rsidP="008631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6658">
              <w:rPr>
                <w:rFonts w:ascii="Calibri" w:eastAsia="Times New Roman" w:hAnsi="Calibri" w:cs="Times New Roman"/>
                <w:b/>
                <w:bCs/>
                <w:color w:val="000000"/>
              </w:rPr>
              <w:t>RNA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5C5BEC07" w14:textId="77777777" w:rsidR="00B46658" w:rsidRPr="00B46658" w:rsidRDefault="00B46658" w:rsidP="008631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6658">
              <w:rPr>
                <w:rFonts w:ascii="Calibri" w:eastAsia="Times New Roman" w:hAnsi="Calibri" w:cs="Times New Roman"/>
                <w:b/>
                <w:bCs/>
                <w:color w:val="000000"/>
              </w:rPr>
              <w:t>Plasma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D7A9F4F" w14:textId="77777777" w:rsidR="00B46658" w:rsidRPr="00B46658" w:rsidRDefault="00B46658" w:rsidP="008631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6658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Serum 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743E8093" w14:textId="77777777" w:rsidR="00B46658" w:rsidRPr="00B46658" w:rsidRDefault="00B46658" w:rsidP="008631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6658">
              <w:rPr>
                <w:rFonts w:ascii="Calibri" w:eastAsia="Times New Roman" w:hAnsi="Calibri" w:cs="Times New Roman"/>
                <w:b/>
                <w:bCs/>
                <w:color w:val="000000"/>
              </w:rPr>
              <w:t>CSF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1CD7704E" w14:textId="77777777" w:rsidR="00B46658" w:rsidRPr="00B46658" w:rsidRDefault="00B46658" w:rsidP="008631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6658">
              <w:rPr>
                <w:rFonts w:ascii="Calibri" w:eastAsia="Times New Roman" w:hAnsi="Calibri" w:cs="Times New Roman"/>
                <w:b/>
                <w:bCs/>
                <w:color w:val="000000"/>
              </w:rPr>
              <w:t>Whole Blood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0FFC1F34" w14:textId="77777777" w:rsidR="00B46658" w:rsidRPr="00B46658" w:rsidRDefault="00B46658" w:rsidP="008631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6658">
              <w:rPr>
                <w:rFonts w:ascii="Calibri" w:eastAsia="Times New Roman" w:hAnsi="Calibri" w:cs="Times New Roman"/>
                <w:b/>
                <w:bCs/>
                <w:color w:val="000000"/>
              </w:rPr>
              <w:t>Whole Blood Pellet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14:paraId="5645D093" w14:textId="77777777" w:rsidR="00B46658" w:rsidRPr="00B46658" w:rsidRDefault="00B46658" w:rsidP="008631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6658">
              <w:rPr>
                <w:rFonts w:ascii="Calibri" w:eastAsia="Times New Roman" w:hAnsi="Calibri" w:cs="Times New Roman"/>
                <w:b/>
                <w:bCs/>
                <w:color w:val="000000"/>
              </w:rPr>
              <w:t>Urine</w:t>
            </w:r>
          </w:p>
        </w:tc>
      </w:tr>
      <w:tr w:rsidR="00B46658" w:rsidRPr="00B46658" w14:paraId="53E4FB49" w14:textId="77777777" w:rsidTr="00CF3694">
        <w:trPr>
          <w:trHeight w:val="89"/>
        </w:trPr>
        <w:tc>
          <w:tcPr>
            <w:tcW w:w="1485" w:type="dxa"/>
            <w:shd w:val="clear" w:color="auto" w:fill="auto"/>
            <w:vAlign w:val="bottom"/>
            <w:hideMark/>
          </w:tcPr>
          <w:p w14:paraId="1F53BD7C" w14:textId="3EFD2EFF" w:rsidR="00B46658" w:rsidRPr="00B46658" w:rsidRDefault="00A552A6" w:rsidP="00AE2D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LE-TBI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6A990B98" w14:textId="5E6C2B56" w:rsidR="00B46658" w:rsidRPr="00B46658" w:rsidRDefault="00AE2DB6" w:rsidP="00B4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B46658" w:rsidRPr="00B46658">
              <w:rPr>
                <w:rFonts w:ascii="Calibri" w:eastAsia="Times New Roman" w:hAnsi="Calibri" w:cs="Times New Roman"/>
                <w:color w:val="000000"/>
              </w:rPr>
              <w:t xml:space="preserve"> µg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C5EC659" w14:textId="3745DF76" w:rsidR="00B46658" w:rsidRPr="00B46658" w:rsidRDefault="00AE2DB6" w:rsidP="00B4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14:paraId="2AEC0F0A" w14:textId="77777777" w:rsidR="00B46658" w:rsidRPr="00B46658" w:rsidRDefault="00B46658" w:rsidP="00B4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6658">
              <w:rPr>
                <w:rFonts w:ascii="Calibri" w:eastAsia="Times New Roman" w:hAnsi="Calibri" w:cs="Times New Roman"/>
                <w:color w:val="000000"/>
              </w:rPr>
              <w:t>200 µl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D09A9C8" w14:textId="3416D1F4" w:rsidR="00B46658" w:rsidRPr="00B46658" w:rsidRDefault="00AE2DB6" w:rsidP="00B4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36C32B82" w14:textId="53B79A17" w:rsidR="00B46658" w:rsidRPr="00B46658" w:rsidRDefault="00AE2DB6" w:rsidP="00B4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7868E97F" w14:textId="4E41EB26" w:rsidR="00B46658" w:rsidRPr="00B46658" w:rsidRDefault="00AE2DB6" w:rsidP="00B4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6BD2B415" w14:textId="77777777" w:rsidR="00B46658" w:rsidRPr="00B46658" w:rsidRDefault="00B46658" w:rsidP="00B4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6658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14:paraId="0D5368B7" w14:textId="77777777" w:rsidR="00B46658" w:rsidRPr="00B46658" w:rsidRDefault="00B46658" w:rsidP="00B46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6658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</w:tbl>
    <w:p w14:paraId="153EECCA" w14:textId="7982713D" w:rsidR="00527B3A" w:rsidRDefault="00527B3A"/>
    <w:p w14:paraId="3C607C90" w14:textId="72EA20F3" w:rsidR="00187D8E" w:rsidRDefault="00187D8E" w:rsidP="00187D8E">
      <w:pPr>
        <w:pStyle w:val="ListParagraph"/>
        <w:numPr>
          <w:ilvl w:val="0"/>
          <w:numId w:val="1"/>
        </w:numPr>
      </w:pPr>
      <w:r w:rsidRPr="00187D8E">
        <w:rPr>
          <w:rFonts w:ascii="Calibri" w:eastAsia="Times New Roman" w:hAnsi="Calibri" w:cs="Times New Roman"/>
          <w:i/>
          <w:color w:val="000000"/>
        </w:rPr>
        <w:t xml:space="preserve"> Staff to contact regarding sample availability</w:t>
      </w:r>
    </w:p>
    <w:tbl>
      <w:tblPr>
        <w:tblW w:w="90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2578"/>
        <w:gridCol w:w="3879"/>
      </w:tblGrid>
      <w:tr w:rsidR="00A552A6" w:rsidRPr="00B1746A" w14:paraId="066F8A12" w14:textId="77777777" w:rsidTr="00E934B5">
        <w:trPr>
          <w:trHeight w:val="609"/>
        </w:trPr>
        <w:tc>
          <w:tcPr>
            <w:tcW w:w="2578" w:type="dxa"/>
          </w:tcPr>
          <w:p w14:paraId="43DAF54D" w14:textId="4A9B0A42" w:rsidR="00A552A6" w:rsidRPr="00B1746A" w:rsidRDefault="00A552A6" w:rsidP="00DD79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</w:rPr>
              <w:t>Cohort</w:t>
            </w:r>
          </w:p>
        </w:tc>
        <w:tc>
          <w:tcPr>
            <w:tcW w:w="2578" w:type="dxa"/>
            <w:shd w:val="clear" w:color="auto" w:fill="auto"/>
            <w:vAlign w:val="center"/>
            <w:hideMark/>
          </w:tcPr>
          <w:p w14:paraId="0D5C894B" w14:textId="33D3150A" w:rsidR="00A552A6" w:rsidRPr="00B1746A" w:rsidRDefault="00A552A6" w:rsidP="00DD79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</w:rPr>
            </w:pPr>
            <w:r w:rsidRPr="00B1746A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</w:rPr>
              <w:t>Contact Name</w:t>
            </w:r>
          </w:p>
        </w:tc>
        <w:tc>
          <w:tcPr>
            <w:tcW w:w="3879" w:type="dxa"/>
            <w:shd w:val="clear" w:color="auto" w:fill="auto"/>
            <w:vAlign w:val="center"/>
            <w:hideMark/>
          </w:tcPr>
          <w:p w14:paraId="320BB6C6" w14:textId="77777777" w:rsidR="00A552A6" w:rsidRPr="00B1746A" w:rsidRDefault="00A552A6" w:rsidP="00DD79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</w:rPr>
            </w:pPr>
            <w:r w:rsidRPr="00B1746A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</w:rPr>
              <w:t>Email</w:t>
            </w:r>
          </w:p>
        </w:tc>
      </w:tr>
      <w:tr w:rsidR="00A552A6" w:rsidRPr="00B1746A" w14:paraId="7A6CE0E6" w14:textId="77777777" w:rsidTr="00E934B5">
        <w:trPr>
          <w:trHeight w:val="609"/>
        </w:trPr>
        <w:tc>
          <w:tcPr>
            <w:tcW w:w="2578" w:type="dxa"/>
          </w:tcPr>
          <w:p w14:paraId="4BFB006C" w14:textId="22DF075F" w:rsidR="00A552A6" w:rsidRDefault="00A552A6" w:rsidP="00DD7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LE-TBI</w:t>
            </w:r>
          </w:p>
        </w:tc>
        <w:tc>
          <w:tcPr>
            <w:tcW w:w="2578" w:type="dxa"/>
            <w:shd w:val="clear" w:color="auto" w:fill="auto"/>
            <w:vAlign w:val="center"/>
            <w:hideMark/>
          </w:tcPr>
          <w:p w14:paraId="00109A9A" w14:textId="78F290CA" w:rsidR="00A552A6" w:rsidRPr="00B1746A" w:rsidRDefault="00A552A6" w:rsidP="00DD7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BioSEND</w:t>
            </w:r>
          </w:p>
        </w:tc>
        <w:tc>
          <w:tcPr>
            <w:tcW w:w="3879" w:type="dxa"/>
            <w:shd w:val="clear" w:color="auto" w:fill="auto"/>
            <w:vAlign w:val="center"/>
            <w:hideMark/>
          </w:tcPr>
          <w:p w14:paraId="1807B30E" w14:textId="77777777" w:rsidR="00A552A6" w:rsidRPr="00B1746A" w:rsidRDefault="00A552A6" w:rsidP="00DD7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color w:val="0563C1"/>
                <w:u w:val="single"/>
              </w:rPr>
              <w:t>biosend@iu.edu</w:t>
            </w:r>
          </w:p>
        </w:tc>
      </w:tr>
    </w:tbl>
    <w:p w14:paraId="12F2F2E2" w14:textId="77777777" w:rsidR="00187D8E" w:rsidRPr="00187D8E" w:rsidRDefault="00187D8E" w:rsidP="00187D8E"/>
    <w:p w14:paraId="0A9E4EC2" w14:textId="77777777" w:rsidR="00187D8E" w:rsidRDefault="00187D8E" w:rsidP="00187D8E"/>
    <w:sectPr w:rsidR="00187D8E" w:rsidSect="00B1746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80EB4"/>
    <w:multiLevelType w:val="hybridMultilevel"/>
    <w:tmpl w:val="3BE425B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1740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46A"/>
    <w:rsid w:val="00007632"/>
    <w:rsid w:val="00026002"/>
    <w:rsid w:val="000B4174"/>
    <w:rsid w:val="000E17A9"/>
    <w:rsid w:val="00171EFD"/>
    <w:rsid w:val="00187D8E"/>
    <w:rsid w:val="001A5EAE"/>
    <w:rsid w:val="00224322"/>
    <w:rsid w:val="00277A3B"/>
    <w:rsid w:val="003E2524"/>
    <w:rsid w:val="003F67C5"/>
    <w:rsid w:val="0044197C"/>
    <w:rsid w:val="004A0DDB"/>
    <w:rsid w:val="004C06C1"/>
    <w:rsid w:val="00527B3A"/>
    <w:rsid w:val="0056601D"/>
    <w:rsid w:val="00571099"/>
    <w:rsid w:val="006754FB"/>
    <w:rsid w:val="006B5D92"/>
    <w:rsid w:val="0082297D"/>
    <w:rsid w:val="0086313F"/>
    <w:rsid w:val="009206EE"/>
    <w:rsid w:val="0096306A"/>
    <w:rsid w:val="00A552A6"/>
    <w:rsid w:val="00AE2DB6"/>
    <w:rsid w:val="00B1746A"/>
    <w:rsid w:val="00B25611"/>
    <w:rsid w:val="00B312DE"/>
    <w:rsid w:val="00B46658"/>
    <w:rsid w:val="00B93095"/>
    <w:rsid w:val="00BC5D65"/>
    <w:rsid w:val="00BD0DD0"/>
    <w:rsid w:val="00C97D6C"/>
    <w:rsid w:val="00CE3BB7"/>
    <w:rsid w:val="00CF3694"/>
    <w:rsid w:val="00D2094B"/>
    <w:rsid w:val="00D32EB3"/>
    <w:rsid w:val="00D33D97"/>
    <w:rsid w:val="00D721E7"/>
    <w:rsid w:val="00DA0CF2"/>
    <w:rsid w:val="00E37E3B"/>
    <w:rsid w:val="00E934B5"/>
    <w:rsid w:val="00ED206B"/>
    <w:rsid w:val="00F32C6A"/>
    <w:rsid w:val="00FB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366037"/>
  <w15:docId w15:val="{6612B408-043C-458C-A4A4-38DE28D6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746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466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3B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B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B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B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B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B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Sapient Corporation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Timothee</dc:creator>
  <cp:keywords/>
  <dc:description/>
  <cp:lastModifiedBy>Price, Rebecca (NIH/NINDS) [E]</cp:lastModifiedBy>
  <cp:revision>3</cp:revision>
  <dcterms:created xsi:type="dcterms:W3CDTF">2024-04-15T18:41:00Z</dcterms:created>
  <dcterms:modified xsi:type="dcterms:W3CDTF">2024-04-30T18:36:00Z</dcterms:modified>
</cp:coreProperties>
</file>